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F4" w:rsidRDefault="008F3CF4">
      <w:r>
        <w:t>Geschäftsordnung des Begleitausschusses der Partnerschaft für Demokratie Westhavelland &amp; Nauen</w:t>
      </w:r>
    </w:p>
    <w:p w:rsidR="008F3CF4" w:rsidRDefault="008F3CF4" w:rsidP="008F3CF4">
      <w:pPr>
        <w:pStyle w:val="Listenabsatz"/>
        <w:numPr>
          <w:ilvl w:val="0"/>
          <w:numId w:val="1"/>
        </w:numPr>
      </w:pPr>
      <w:r>
        <w:t>Präambel</w:t>
      </w:r>
    </w:p>
    <w:p w:rsidR="008F3CF4" w:rsidRDefault="008F3CF4" w:rsidP="008F3CF4">
      <w:r>
        <w:t xml:space="preserve">Die Partnerschaft für Demokratie Westhavelland &amp; Nauen ist eine gemeinsame Strategie </w:t>
      </w:r>
      <w:r w:rsidR="004F4D56">
        <w:t>der Berlin-fernen kommunalen Gebietskörperschaften des Landkreises Havelland</w:t>
      </w:r>
      <w:r w:rsidR="00356FD8">
        <w:rPr>
          <w:rStyle w:val="Funotenzeichen"/>
        </w:rPr>
        <w:footnoteReference w:id="1"/>
      </w:r>
      <w:r w:rsidR="004F4D56">
        <w:t xml:space="preserve"> </w:t>
      </w:r>
      <w:r>
        <w:t xml:space="preserve">zur Stärkung von demokratischen Prozessen, der Förderung der Toleranz der </w:t>
      </w:r>
      <w:r w:rsidR="004F4D56">
        <w:t xml:space="preserve">Bewohnerinnen und Bewohner </w:t>
      </w:r>
      <w:r>
        <w:t>untereinander sowie zur Abwehr von demokratiefeindlichen</w:t>
      </w:r>
      <w:r w:rsidR="004F4D56">
        <w:t xml:space="preserve"> Entwicklungen im Allgemeinen, sowie des Rechtsextremismus im Besonderen.</w:t>
      </w:r>
      <w:r>
        <w:t xml:space="preserve"> </w:t>
      </w:r>
    </w:p>
    <w:p w:rsidR="004F4D56" w:rsidRDefault="004F4D56" w:rsidP="008F3CF4">
      <w:r>
        <w:t>Der Begleitausschuss</w:t>
      </w:r>
      <w:r w:rsidR="00E11DF7">
        <w:t xml:space="preserve"> (</w:t>
      </w:r>
      <w:proofErr w:type="spellStart"/>
      <w:r w:rsidR="00E11DF7">
        <w:t>BgA</w:t>
      </w:r>
      <w:proofErr w:type="spellEnd"/>
      <w:r w:rsidR="00E11DF7">
        <w:t>)</w:t>
      </w:r>
      <w:r>
        <w:t xml:space="preserve"> ist das steuernde Gremium der Partnerschaft für Demokratie Westhavelland &amp; Nauen (</w:t>
      </w:r>
      <w:proofErr w:type="spellStart"/>
      <w:r>
        <w:t>PfD</w:t>
      </w:r>
      <w:proofErr w:type="spellEnd"/>
      <w:r>
        <w:t xml:space="preserve"> W&amp;N)</w:t>
      </w:r>
      <w:r w:rsidR="00356FD8">
        <w:t xml:space="preserve">. Im </w:t>
      </w:r>
      <w:proofErr w:type="spellStart"/>
      <w:r w:rsidR="00356FD8">
        <w:t>B</w:t>
      </w:r>
      <w:r w:rsidR="00E11DF7">
        <w:t>gA</w:t>
      </w:r>
      <w:proofErr w:type="spellEnd"/>
      <w:r w:rsidR="00356FD8">
        <w:t xml:space="preserve"> sitzen Vertreterinnen und Vertreter möglichst vielfältiger Gesellschaftsbereiche</w:t>
      </w:r>
      <w:r w:rsidR="00E11DF7">
        <w:t xml:space="preserve"> zusammen</w:t>
      </w:r>
      <w:r w:rsidR="00356FD8">
        <w:t xml:space="preserve"> und erarbeiten Ziele und Strategien zu den </w:t>
      </w:r>
      <w:r w:rsidR="00E11DF7">
        <w:t xml:space="preserve">Themen der </w:t>
      </w:r>
      <w:proofErr w:type="spellStart"/>
      <w:r w:rsidR="00E11DF7">
        <w:t>PfD</w:t>
      </w:r>
      <w:proofErr w:type="spellEnd"/>
      <w:r w:rsidR="00E11DF7">
        <w:t xml:space="preserve"> und des Bundesprogrammes „Demokratie leben!“. </w:t>
      </w:r>
    </w:p>
    <w:p w:rsidR="00E11DF7" w:rsidRDefault="00E11DF7" w:rsidP="008F3CF4">
      <w:r>
        <w:t>Grundl</w:t>
      </w:r>
      <w:r w:rsidR="00DD446A">
        <w:t xml:space="preserve">age der Prozesse im </w:t>
      </w:r>
      <w:proofErr w:type="spellStart"/>
      <w:r w:rsidR="00DD446A">
        <w:t>BgA</w:t>
      </w:r>
      <w:proofErr w:type="spellEnd"/>
      <w:r w:rsidR="00DD446A">
        <w:t xml:space="preserve"> ist die Idee</w:t>
      </w:r>
      <w:r>
        <w:t xml:space="preserve"> von Gleich</w:t>
      </w:r>
      <w:r w:rsidR="00DD446A">
        <w:t>wertigkeit</w:t>
      </w:r>
      <w:r>
        <w:t xml:space="preserve"> der verschiedenen Vertreter</w:t>
      </w:r>
      <w:r w:rsidR="00DD446A">
        <w:t xml:space="preserve">innen und </w:t>
      </w:r>
      <w:proofErr w:type="spellStart"/>
      <w:r w:rsidR="00DD446A">
        <w:t>Vetreter</w:t>
      </w:r>
      <w:proofErr w:type="spellEnd"/>
      <w:r>
        <w:t xml:space="preserve"> der Gesellschaft im demokratischen Entscheidungsfindungsprozess von Diskurs und Debatte. Jeder hat das Recht, angehört zu werden, Entscheidungen fallen nach dem </w:t>
      </w:r>
      <w:r w:rsidRPr="00F51362">
        <w:rPr>
          <w:b/>
        </w:rPr>
        <w:t>Mehrheits</w:t>
      </w:r>
      <w:r w:rsidR="00F51362">
        <w:rPr>
          <w:b/>
        </w:rPr>
        <w:t>-</w:t>
      </w:r>
      <w:r w:rsidRPr="00F51362">
        <w:rPr>
          <w:b/>
        </w:rPr>
        <w:t>prinzip</w:t>
      </w:r>
      <w:r>
        <w:t xml:space="preserve">. </w:t>
      </w:r>
    </w:p>
    <w:p w:rsidR="00E11DF7" w:rsidRDefault="00E11DF7" w:rsidP="008F3CF4">
      <w:r>
        <w:t xml:space="preserve">Wichtigste Voraussetzung zur Mitarbeit im </w:t>
      </w:r>
      <w:proofErr w:type="spellStart"/>
      <w:r>
        <w:t>BgA</w:t>
      </w:r>
      <w:proofErr w:type="spellEnd"/>
      <w:r>
        <w:t xml:space="preserve"> ist die Bereitschaft, sich für ein demokratisches, friedliches, weltoffenes und tolerantes Miteinander mündiger Bürgerinnen und Bürger</w:t>
      </w:r>
      <w:r w:rsidR="001A5D02">
        <w:t xml:space="preserve"> in der Region</w:t>
      </w:r>
      <w:r>
        <w:t xml:space="preserve"> einzusetzen.</w:t>
      </w:r>
    </w:p>
    <w:p w:rsidR="00E11DF7" w:rsidRPr="004F32C0" w:rsidRDefault="00E11DF7" w:rsidP="00E11DF7">
      <w:pPr>
        <w:pStyle w:val="Listenabsatz"/>
        <w:numPr>
          <w:ilvl w:val="0"/>
          <w:numId w:val="1"/>
        </w:numPr>
        <w:rPr>
          <w:b/>
        </w:rPr>
      </w:pPr>
      <w:r w:rsidRPr="004F32C0">
        <w:rPr>
          <w:b/>
        </w:rPr>
        <w:t>Grundlage der Arbeit</w:t>
      </w:r>
    </w:p>
    <w:p w:rsidR="00E11DF7" w:rsidRDefault="00E11DF7" w:rsidP="00E11DF7">
      <w:pPr>
        <w:pStyle w:val="Listenabsatz"/>
      </w:pPr>
    </w:p>
    <w:p w:rsidR="00E11DF7" w:rsidRDefault="00E11DF7" w:rsidP="00842C48">
      <w:pPr>
        <w:pStyle w:val="Listenabsatz"/>
        <w:numPr>
          <w:ilvl w:val="0"/>
          <w:numId w:val="3"/>
        </w:numPr>
      </w:pPr>
      <w:r>
        <w:t>Mit Beschluss der Bürgermeister und Amtsdirektoren</w:t>
      </w:r>
      <w:r w:rsidR="00842C48">
        <w:t xml:space="preserve"> bzw. der Amtsdirektorin</w:t>
      </w:r>
      <w:r>
        <w:t xml:space="preserve"> vom 8. Oktober</w:t>
      </w:r>
      <w:r w:rsidR="00842C48">
        <w:t xml:space="preserve"> 2014 haben die </w:t>
      </w:r>
      <w:proofErr w:type="spellStart"/>
      <w:r w:rsidR="00842C48">
        <w:t>u.g</w:t>
      </w:r>
      <w:proofErr w:type="spellEnd"/>
      <w:r w:rsidR="00842C48">
        <w:t>. Kommunen eine Interessenbekundung für die Gründung einer Partnerschaft für Demokratie im Rahmen des Bundespro</w:t>
      </w:r>
      <w:r w:rsidR="00D04433">
        <w:t>grammes „Demokratie leben!“ abge</w:t>
      </w:r>
      <w:r w:rsidR="00842C48">
        <w:t>geben.</w:t>
      </w:r>
    </w:p>
    <w:p w:rsidR="00842C48" w:rsidRDefault="00842C48" w:rsidP="00842C48">
      <w:pPr>
        <w:pStyle w:val="Listenabsatz"/>
        <w:numPr>
          <w:ilvl w:val="0"/>
          <w:numId w:val="3"/>
        </w:numPr>
      </w:pPr>
      <w:r>
        <w:t>Nach Aufforderung durch die Regiestelle wurde am 17.12.2014 ein Antrag</w:t>
      </w:r>
      <w:r w:rsidR="00702BC3">
        <w:t xml:space="preserve"> durch die Stadtverwaltung Rathenow</w:t>
      </w:r>
      <w:r>
        <w:t xml:space="preserve"> eingereicht.</w:t>
      </w:r>
    </w:p>
    <w:p w:rsidR="00D04433" w:rsidRDefault="00D04433" w:rsidP="00842C48">
      <w:pPr>
        <w:pStyle w:val="Listenabsatz"/>
        <w:numPr>
          <w:ilvl w:val="0"/>
          <w:numId w:val="3"/>
        </w:numPr>
      </w:pPr>
      <w:r>
        <w:t xml:space="preserve">Zuwendungsbescheid (A0172) des Bundesamtes für Zivilgesellschaftliche Aufgaben vom 30.1.2015 (Eingang 4.2.2015) mit allen </w:t>
      </w:r>
      <w:proofErr w:type="spellStart"/>
      <w:r>
        <w:t>Anbestimmungen</w:t>
      </w:r>
      <w:proofErr w:type="spellEnd"/>
      <w:r>
        <w:t>.</w:t>
      </w:r>
    </w:p>
    <w:p w:rsidR="00D04433" w:rsidRDefault="00D04433" w:rsidP="00D04433">
      <w:pPr>
        <w:pStyle w:val="Listenabsatz"/>
        <w:numPr>
          <w:ilvl w:val="0"/>
          <w:numId w:val="3"/>
        </w:numPr>
      </w:pPr>
      <w:r w:rsidRPr="0015105E">
        <w:t>Leitlinie Bundesweite Förderung lokaler „Partnerschaften für Demokratie“</w:t>
      </w:r>
    </w:p>
    <w:p w:rsidR="00702BC3" w:rsidRDefault="00702BC3" w:rsidP="00702BC3"/>
    <w:p w:rsidR="00702BC3" w:rsidRPr="004F32C0" w:rsidRDefault="00702BC3" w:rsidP="00702BC3">
      <w:pPr>
        <w:pStyle w:val="Listenabsatz"/>
        <w:numPr>
          <w:ilvl w:val="0"/>
          <w:numId w:val="1"/>
        </w:numPr>
        <w:rPr>
          <w:b/>
        </w:rPr>
      </w:pPr>
      <w:r w:rsidRPr="004F32C0">
        <w:rPr>
          <w:b/>
        </w:rPr>
        <w:t>Zusammensetzung des Begleitausschusses</w:t>
      </w:r>
    </w:p>
    <w:p w:rsidR="00F10AE8" w:rsidRDefault="00F10AE8" w:rsidP="00F10AE8">
      <w:pPr>
        <w:pStyle w:val="Listenabsatz"/>
      </w:pPr>
    </w:p>
    <w:p w:rsidR="001268D9" w:rsidRDefault="00702BC3" w:rsidP="00702BC3">
      <w:pPr>
        <w:pStyle w:val="Listenabsatz"/>
        <w:numPr>
          <w:ilvl w:val="1"/>
          <w:numId w:val="1"/>
        </w:numPr>
      </w:pPr>
      <w:r>
        <w:t>Der B</w:t>
      </w:r>
      <w:r w:rsidR="0070247A">
        <w:t>egleitausschuss setzt sich aus 3</w:t>
      </w:r>
      <w:r>
        <w:t xml:space="preserve"> Bestandteilen zusammen</w:t>
      </w:r>
      <w:r w:rsidR="0070247A">
        <w:t>, wobei eine Besetzung aller beschriebenen Sitze</w:t>
      </w:r>
      <w:r w:rsidR="00F10AE8">
        <w:t xml:space="preserve"> mit Ausnahme der kommunalen Sitze (A1)</w:t>
      </w:r>
      <w:r w:rsidR="0070247A">
        <w:t xml:space="preserve"> nicht verpflichtend ist. </w:t>
      </w:r>
    </w:p>
    <w:p w:rsidR="00702BC3" w:rsidRDefault="00702BC3" w:rsidP="00702BC3">
      <w:r>
        <w:lastRenderedPageBreak/>
        <w:t>A: Vertreterinnen und V</w:t>
      </w:r>
      <w:r w:rsidR="004F32C0">
        <w:t>ertreter der beteiligten Kommunalverwaltung</w:t>
      </w:r>
      <w:r>
        <w:t xml:space="preserve">en (7 </w:t>
      </w:r>
      <w:r w:rsidR="00FA74D6">
        <w:t>–</w:t>
      </w:r>
      <w:r w:rsidR="00F10AE8">
        <w:t xml:space="preserve"> </w:t>
      </w:r>
      <w:r>
        <w:t>14</w:t>
      </w:r>
      <w:r w:rsidR="00FA74D6">
        <w:t xml:space="preserve"> </w:t>
      </w:r>
      <w:r w:rsidR="00FA74D6" w:rsidRPr="00FA74D6">
        <w:rPr>
          <w:color w:val="FF0000"/>
        </w:rPr>
        <w:t>6-12</w:t>
      </w:r>
      <w:r w:rsidR="00FA74D6">
        <w:rPr>
          <w:color w:val="FF0000"/>
        </w:rPr>
        <w:t>)</w:t>
      </w:r>
      <w:r w:rsidR="00F10AE8">
        <w:t>, aktuell</w:t>
      </w:r>
      <w:r w:rsidR="00DD446A">
        <w:t xml:space="preserve"> </w:t>
      </w:r>
      <w:r w:rsidR="008A341A">
        <w:t>8</w:t>
      </w:r>
      <w:r w:rsidR="00FA74D6">
        <w:t xml:space="preserve"> </w:t>
      </w:r>
      <w:r w:rsidR="00FA74D6" w:rsidRPr="00FA74D6">
        <w:rPr>
          <w:color w:val="FF0000"/>
        </w:rPr>
        <w:t>12</w:t>
      </w:r>
      <w:r w:rsidR="008A341A">
        <w:t xml:space="preserve"> </w:t>
      </w:r>
      <w:r w:rsidR="00DD446A">
        <w:t>stimmberechtigte</w:t>
      </w:r>
      <w:r w:rsidR="00F10AE8">
        <w:t xml:space="preserve"> </w:t>
      </w:r>
      <w:r>
        <w:t>Sitze):</w:t>
      </w:r>
    </w:p>
    <w:p w:rsidR="00702BC3" w:rsidRDefault="00702BC3" w:rsidP="00702BC3">
      <w:r>
        <w:t xml:space="preserve">A1: </w:t>
      </w:r>
      <w:r w:rsidR="00361423">
        <w:t>Es wird angestrebt, dass j</w:t>
      </w:r>
      <w:r>
        <w:t>ede Kommune mindestens 2 Personen</w:t>
      </w:r>
      <w:r w:rsidR="00361423">
        <w:t xml:space="preserve"> benennt</w:t>
      </w:r>
      <w:r>
        <w:t xml:space="preserve">, die im </w:t>
      </w:r>
      <w:proofErr w:type="spellStart"/>
      <w:r>
        <w:t>BgA</w:t>
      </w:r>
      <w:proofErr w:type="spellEnd"/>
      <w:r>
        <w:t xml:space="preserve"> als Repräsentant/in der Gebietskörperschaft mitarbeiten. Dabei soll davon </w:t>
      </w:r>
      <w:r w:rsidRPr="00F51362">
        <w:rPr>
          <w:b/>
        </w:rPr>
        <w:t xml:space="preserve">mindestens </w:t>
      </w:r>
      <w:r>
        <w:t xml:space="preserve">eine Person Mitglied/Mitarbeiter/in der Verwaltung sein, </w:t>
      </w:r>
      <w:r w:rsidRPr="00F51362">
        <w:rPr>
          <w:b/>
        </w:rPr>
        <w:t>mindestens</w:t>
      </w:r>
      <w:r>
        <w:t xml:space="preserve"> eine weitere Person soll als Repräsentant/in der Zivilgesellschaft mitarbeiten.</w:t>
      </w:r>
    </w:p>
    <w:p w:rsidR="00702BC3" w:rsidRDefault="0070247A" w:rsidP="00702BC3">
      <w:r>
        <w:t>A2: Jede Kommune, in der sich eine Form der Jugendbeteiligung im Gemeinwesen findet (Jugendbeiräte, -parlamente, -foren oder vergleichbar), kann eine/n zusätzlichen stimmberechtigten Vertreter/in aus dieser Struktur in den Begleita</w:t>
      </w:r>
      <w:r w:rsidR="008A341A">
        <w:t>usschuss entsenden. Die Person</w:t>
      </w:r>
      <w:r w:rsidR="0039396C">
        <w:t xml:space="preserve"> sollte</w:t>
      </w:r>
      <w:r>
        <w:t xml:space="preserve"> nur in begründeten Ausnahmen älter als 27 Jahre sein.</w:t>
      </w:r>
    </w:p>
    <w:p w:rsidR="00702BC3" w:rsidRDefault="00702BC3" w:rsidP="00702BC3"/>
    <w:p w:rsidR="00702BC3" w:rsidRDefault="00702BC3" w:rsidP="00702BC3">
      <w:r>
        <w:t>B: Vertreterinnen und Vertreter relevanter weiterer Verwaltungen/Behörden (aktuell</w:t>
      </w:r>
      <w:r w:rsidR="00F10AE8">
        <w:t xml:space="preserve"> </w:t>
      </w:r>
      <w:r w:rsidR="00DD446A">
        <w:t xml:space="preserve">2 </w:t>
      </w:r>
      <w:r w:rsidR="00F10AE8">
        <w:t>stimmberechtigte</w:t>
      </w:r>
      <w:r>
        <w:t xml:space="preserve"> Sitze)</w:t>
      </w:r>
    </w:p>
    <w:p w:rsidR="00702BC3" w:rsidRDefault="00702BC3" w:rsidP="00702BC3">
      <w:r>
        <w:t>B1: Landkreis Havelland</w:t>
      </w:r>
    </w:p>
    <w:p w:rsidR="00702BC3" w:rsidRDefault="00702BC3" w:rsidP="00702BC3">
      <w:r>
        <w:t>B2: Sicherheitsorgane</w:t>
      </w:r>
      <w:r w:rsidR="00663727">
        <w:t xml:space="preserve"> </w:t>
      </w:r>
    </w:p>
    <w:p w:rsidR="00DD446A" w:rsidRDefault="00DD446A" w:rsidP="00702BC3"/>
    <w:p w:rsidR="00702BC3" w:rsidRDefault="00702BC3" w:rsidP="00702BC3">
      <w:r>
        <w:t>C: Vertreterinnen und Vertreter vielfältiger zivilgesellschaftlicher Bereiche</w:t>
      </w:r>
      <w:r w:rsidR="00F10AE8">
        <w:t xml:space="preserve"> (aktuell 4 Sitze)</w:t>
      </w:r>
    </w:p>
    <w:p w:rsidR="00663727" w:rsidRDefault="00702BC3" w:rsidP="00702BC3">
      <w:r>
        <w:t>C1: Religion</w:t>
      </w:r>
      <w:r w:rsidR="0070247A">
        <w:t>/Weltanschauung</w:t>
      </w:r>
      <w:r w:rsidR="00F10AE8">
        <w:t xml:space="preserve"> </w:t>
      </w:r>
    </w:p>
    <w:p w:rsidR="00663727" w:rsidRDefault="0070247A" w:rsidP="00702BC3">
      <w:r>
        <w:t>C2: Migration</w:t>
      </w:r>
      <w:r w:rsidR="00F10AE8">
        <w:t xml:space="preserve"> </w:t>
      </w:r>
    </w:p>
    <w:p w:rsidR="00663727" w:rsidRDefault="0070247A" w:rsidP="00702BC3">
      <w:r>
        <w:t>C3: Sport</w:t>
      </w:r>
      <w:r w:rsidR="00DD446A">
        <w:t xml:space="preserve"> </w:t>
      </w:r>
    </w:p>
    <w:p w:rsidR="00663727" w:rsidRDefault="0070247A" w:rsidP="00702BC3">
      <w:r>
        <w:t>C4: Wirtschaft/Handwerk</w:t>
      </w:r>
      <w:r w:rsidR="00F10AE8">
        <w:t>/</w:t>
      </w:r>
      <w:r w:rsidR="006E269D">
        <w:t>Finanzen/</w:t>
      </w:r>
      <w:r w:rsidR="00F10AE8">
        <w:t xml:space="preserve">Freie Berufe </w:t>
      </w:r>
    </w:p>
    <w:p w:rsidR="00663727" w:rsidRDefault="0070247A" w:rsidP="00702BC3">
      <w:r>
        <w:t>C5: Bildung</w:t>
      </w:r>
      <w:r w:rsidR="00F10AE8">
        <w:t xml:space="preserve"> </w:t>
      </w:r>
    </w:p>
    <w:p w:rsidR="0070247A" w:rsidRDefault="0070247A" w:rsidP="00702BC3">
      <w:r>
        <w:t>C6: Soziales</w:t>
      </w:r>
      <w:r w:rsidR="00F10AE8">
        <w:t xml:space="preserve"> </w:t>
      </w:r>
    </w:p>
    <w:p w:rsidR="00F10AE8" w:rsidRDefault="0060421B">
      <w:r>
        <w:t xml:space="preserve">C7: Mündige </w:t>
      </w:r>
      <w:proofErr w:type="spellStart"/>
      <w:r>
        <w:t>Bürger_</w:t>
      </w:r>
      <w:r w:rsidR="00F10AE8">
        <w:t>innen</w:t>
      </w:r>
      <w:proofErr w:type="spellEnd"/>
      <w:r w:rsidR="00F10AE8">
        <w:t xml:space="preserve"> </w:t>
      </w:r>
    </w:p>
    <w:p w:rsidR="003965A3" w:rsidRDefault="003965A3">
      <w:r>
        <w:t xml:space="preserve">Ziel ist es, jeden Sitz mit mindestens 2 namentlich benannten Personen zu besetzen, um die Arbeitsbelastung für jede einzelne Person geringer zu </w:t>
      </w:r>
      <w:r w:rsidR="001268D9">
        <w:t>halten. Die Sitzinhaber eines</w:t>
      </w:r>
      <w:r>
        <w:t xml:space="preserve"> Sitz</w:t>
      </w:r>
      <w:r w:rsidR="001268D9">
        <w:t>es</w:t>
      </w:r>
      <w:r>
        <w:t xml:space="preserve"> stimmen sich im Vorfeld der Sitzungen über die Teilnehme und ggf. Entscheidungen zu vorliegenden Anträgen ab.</w:t>
      </w:r>
    </w:p>
    <w:p w:rsidR="0024116E" w:rsidRDefault="0024116E" w:rsidP="001268D9">
      <w:pPr>
        <w:pStyle w:val="Listenabsatz"/>
        <w:numPr>
          <w:ilvl w:val="1"/>
          <w:numId w:val="1"/>
        </w:numPr>
      </w:pPr>
      <w:r>
        <w:t>Die Aufnahme weiterer Mitglieder in den Begleitausschuss</w:t>
      </w:r>
      <w:r w:rsidR="001A5D02">
        <w:t xml:space="preserve"> bzw. die Schaffung weiterer Sitze</w:t>
      </w:r>
      <w:r>
        <w:t xml:space="preserve"> erfolgt durch</w:t>
      </w:r>
      <w:r w:rsidR="00DD446A">
        <w:t xml:space="preserve"> eine</w:t>
      </w:r>
      <w:r>
        <w:t xml:space="preserve"> absolute 2/3-Mehrheit des aktuellen </w:t>
      </w:r>
      <w:proofErr w:type="spellStart"/>
      <w:r>
        <w:t>BgA</w:t>
      </w:r>
      <w:proofErr w:type="spellEnd"/>
      <w:r>
        <w:t>.</w:t>
      </w:r>
    </w:p>
    <w:p w:rsidR="001A5D02" w:rsidRDefault="001A5D02" w:rsidP="001268D9">
      <w:pPr>
        <w:pStyle w:val="Listenabsatz"/>
        <w:numPr>
          <w:ilvl w:val="1"/>
          <w:numId w:val="1"/>
        </w:numPr>
      </w:pPr>
      <w:r>
        <w:t>Bei der Besetzung der Sitze wird auf ein ausgeglichenes Geschlechterverhältnis geachtet.</w:t>
      </w:r>
      <w:bookmarkStart w:id="0" w:name="_GoBack"/>
      <w:bookmarkEnd w:id="0"/>
    </w:p>
    <w:p w:rsidR="003965A3" w:rsidRDefault="00663727">
      <w:r>
        <w:t xml:space="preserve">Eine Liste mit den </w:t>
      </w:r>
      <w:r w:rsidR="0024116E">
        <w:t xml:space="preserve">namentlichen </w:t>
      </w:r>
      <w:r>
        <w:t>aktuellen Besetzungen findet sich als Anlage zur Geschäftsordnung.</w:t>
      </w:r>
    </w:p>
    <w:p w:rsidR="00E11F47" w:rsidRDefault="00E11F47"/>
    <w:p w:rsidR="00663727" w:rsidRPr="00E11F47" w:rsidRDefault="00663727" w:rsidP="00663727">
      <w:pPr>
        <w:pStyle w:val="Listenabsatz"/>
        <w:numPr>
          <w:ilvl w:val="0"/>
          <w:numId w:val="1"/>
        </w:numPr>
        <w:rPr>
          <w:b/>
        </w:rPr>
      </w:pPr>
      <w:r w:rsidRPr="00E11F47">
        <w:rPr>
          <w:b/>
        </w:rPr>
        <w:lastRenderedPageBreak/>
        <w:t>Ziele und Aufgaben</w:t>
      </w:r>
    </w:p>
    <w:p w:rsidR="001268D9" w:rsidRDefault="001268D9" w:rsidP="001268D9">
      <w:pPr>
        <w:pStyle w:val="Listenabsatz"/>
      </w:pPr>
    </w:p>
    <w:p w:rsidR="0024116E" w:rsidRDefault="00663727" w:rsidP="001268D9">
      <w:pPr>
        <w:pStyle w:val="Listenabsatz"/>
        <w:numPr>
          <w:ilvl w:val="1"/>
          <w:numId w:val="1"/>
        </w:numPr>
      </w:pPr>
      <w:r>
        <w:t>Der Begleitausschuss ist das steuernde Gremium</w:t>
      </w:r>
      <w:r w:rsidR="0024116E">
        <w:t xml:space="preserve"> der Partnerschaft für Demokratie. Dazu:</w:t>
      </w:r>
    </w:p>
    <w:p w:rsidR="00111786" w:rsidRDefault="0024116E" w:rsidP="0024116E">
      <w:pPr>
        <w:pStyle w:val="Listenabsatz"/>
        <w:numPr>
          <w:ilvl w:val="0"/>
          <w:numId w:val="4"/>
        </w:numPr>
      </w:pPr>
      <w:r>
        <w:t xml:space="preserve">Analysiert er die Regionen des Fördergebietes in Bezug auf die lokalen Problemlagen, Ressourcen zur Lösung und den Einsatz der vorhandenen Mittel </w:t>
      </w:r>
    </w:p>
    <w:p w:rsidR="0024116E" w:rsidRDefault="0024116E" w:rsidP="0024116E">
      <w:pPr>
        <w:pStyle w:val="Listenabsatz"/>
        <w:numPr>
          <w:ilvl w:val="0"/>
          <w:numId w:val="4"/>
        </w:numPr>
      </w:pPr>
      <w:r>
        <w:t xml:space="preserve">Entwickelt er sich zum Fachgremium für </w:t>
      </w:r>
      <w:r w:rsidR="005C46BF">
        <w:t>Extremismus und Demokratieförderung</w:t>
      </w:r>
    </w:p>
    <w:p w:rsidR="005C46BF" w:rsidRDefault="005C46BF" w:rsidP="0024116E">
      <w:pPr>
        <w:pStyle w:val="Listenabsatz"/>
        <w:numPr>
          <w:ilvl w:val="0"/>
          <w:numId w:val="4"/>
        </w:numPr>
      </w:pPr>
      <w:r>
        <w:t>Entwickelt er Ziele und Strategien zur Zielerreichung</w:t>
      </w:r>
    </w:p>
    <w:p w:rsidR="0024116E" w:rsidRDefault="005C46BF" w:rsidP="004F32C0">
      <w:pPr>
        <w:pStyle w:val="Listenabsatz"/>
        <w:numPr>
          <w:ilvl w:val="0"/>
          <w:numId w:val="4"/>
        </w:numPr>
      </w:pPr>
      <w:r>
        <w:t>Entscheidet über die Einzelmaßnahmen</w:t>
      </w:r>
      <w:r w:rsidR="003965A3">
        <w:t xml:space="preserve"> (</w:t>
      </w:r>
      <w:r w:rsidR="00111786">
        <w:t>P</w:t>
      </w:r>
      <w:r w:rsidR="003965A3">
        <w:t>rojekte)</w:t>
      </w:r>
    </w:p>
    <w:p w:rsidR="004F32C0" w:rsidRDefault="004F32C0" w:rsidP="004F32C0">
      <w:pPr>
        <w:pStyle w:val="Listenabsatz"/>
        <w:numPr>
          <w:ilvl w:val="0"/>
          <w:numId w:val="4"/>
        </w:numPr>
      </w:pPr>
    </w:p>
    <w:p w:rsidR="005C46BF" w:rsidRPr="004F32C0" w:rsidRDefault="0024116E" w:rsidP="005C46BF">
      <w:pPr>
        <w:pStyle w:val="Listenabsatz"/>
        <w:numPr>
          <w:ilvl w:val="0"/>
          <w:numId w:val="1"/>
        </w:numPr>
        <w:rPr>
          <w:b/>
        </w:rPr>
      </w:pPr>
      <w:r w:rsidRPr="004F32C0">
        <w:rPr>
          <w:b/>
        </w:rPr>
        <w:t>Arbeitsweise</w:t>
      </w:r>
      <w:r w:rsidR="001A5D02" w:rsidRPr="004F32C0">
        <w:rPr>
          <w:b/>
        </w:rPr>
        <w:t xml:space="preserve"> und Beschlussfassung</w:t>
      </w:r>
    </w:p>
    <w:p w:rsidR="001268D9" w:rsidRPr="004F32C0" w:rsidRDefault="001268D9" w:rsidP="001268D9">
      <w:pPr>
        <w:ind w:firstLine="708"/>
        <w:rPr>
          <w:b/>
        </w:rPr>
      </w:pPr>
      <w:r w:rsidRPr="004F32C0">
        <w:rPr>
          <w:b/>
        </w:rPr>
        <w:t>5.1 Sitzungen und Ladungsfristen</w:t>
      </w:r>
    </w:p>
    <w:p w:rsidR="0024116E" w:rsidRDefault="001268D9" w:rsidP="001268D9">
      <w:pPr>
        <w:ind w:left="708"/>
      </w:pPr>
      <w:r>
        <w:t xml:space="preserve">a.  </w:t>
      </w:r>
      <w:r w:rsidR="0024116E">
        <w:t>Ordentliche Sitzungen des Ausschusses finden 2mo</w:t>
      </w:r>
      <w:r>
        <w:t xml:space="preserve">natlich statt, außerordentliche </w:t>
      </w:r>
      <w:r w:rsidR="0024116E">
        <w:t>Sitzu</w:t>
      </w:r>
      <w:r>
        <w:t>ngen finden nach Bedarf statt.</w:t>
      </w:r>
    </w:p>
    <w:p w:rsidR="005C46BF" w:rsidRDefault="001268D9" w:rsidP="001268D9">
      <w:pPr>
        <w:ind w:left="708"/>
      </w:pPr>
      <w:r>
        <w:t xml:space="preserve">b. </w:t>
      </w:r>
      <w:r w:rsidR="005C46BF">
        <w:t>Zu den ordentlichen Sitzungen wird mit einer Frist von 10 Werktagen geladen, zu außerordentlichen Sitzungen soll mindestens 5 Werktage im Voraus geladen werden. Die Einladung erfolgt i.d.R. per E-Mail, eine schriftliche postalische Einladung erfolgt nur in begründeten Ausnahmefällen.</w:t>
      </w:r>
    </w:p>
    <w:p w:rsidR="005C46BF" w:rsidRDefault="001268D9" w:rsidP="001268D9">
      <w:pPr>
        <w:ind w:left="708"/>
      </w:pPr>
      <w:r>
        <w:t xml:space="preserve">c. </w:t>
      </w:r>
      <w:r w:rsidR="005C46BF">
        <w:t>Die Sitzungen werden moderiert, d.h. ein</w:t>
      </w:r>
      <w:r w:rsidR="00DD446A">
        <w:t>/e</w:t>
      </w:r>
      <w:r w:rsidR="005C46BF">
        <w:t xml:space="preserve"> unabhängige</w:t>
      </w:r>
      <w:r w:rsidR="00DD446A">
        <w:t>/</w:t>
      </w:r>
      <w:r w:rsidR="005C46BF">
        <w:t>r</w:t>
      </w:r>
      <w:r w:rsidR="003965A3">
        <w:t xml:space="preserve"> nicht stimmberechtigte</w:t>
      </w:r>
      <w:r w:rsidR="00DD446A">
        <w:t>/</w:t>
      </w:r>
      <w:r w:rsidR="003965A3">
        <w:t>r</w:t>
      </w:r>
      <w:r w:rsidR="005C46BF">
        <w:t xml:space="preserve"> Moderator</w:t>
      </w:r>
      <w:r w:rsidR="00DD446A">
        <w:t>/in</w:t>
      </w:r>
      <w:r w:rsidR="005C46BF">
        <w:t xml:space="preserve"> leitet die Mitglieder durch die Arbeitsprozesse, die sich aus der jeweiligen Tagesordnung ergeben. Methodisches Ziel ist es, die Unterschiedlichkeit der Mitglieder (in Bezug auf ihre berufliche oder ehrenamtliche Tätigkeit bzw. ihre individuellen Lebenslagen und -erfahrungen) als Ressource zur Probleml</w:t>
      </w:r>
      <w:r w:rsidR="00DD446A">
        <w:t>ösung zu verstehen und in die Prozesse einzu</w:t>
      </w:r>
      <w:r w:rsidR="001A5D02">
        <w:t>beziehen</w:t>
      </w:r>
      <w:r w:rsidR="00DD446A">
        <w:t>.</w:t>
      </w:r>
    </w:p>
    <w:p w:rsidR="003965A3" w:rsidRDefault="001268D9" w:rsidP="001268D9">
      <w:pPr>
        <w:ind w:left="708"/>
      </w:pPr>
      <w:r>
        <w:t xml:space="preserve">d. </w:t>
      </w:r>
      <w:r w:rsidR="003965A3">
        <w:t>Die Sitzungen werden nicht öffentlich beworben, jedoch können interessierte Gäste, auch Medienvertreter, daran teilnehmen. Über deren Teilnahme oder auch den Ausschluss von Personen entscheiden die anwesenden Mitglieder des Ausschusses mit einfacher Mehrheit</w:t>
      </w:r>
      <w:r w:rsidR="00EB6596">
        <w:t xml:space="preserve"> der anwesenden Mitglieder</w:t>
      </w:r>
      <w:r w:rsidR="003965A3">
        <w:t>.</w:t>
      </w:r>
    </w:p>
    <w:p w:rsidR="0068559C" w:rsidRDefault="0068559C" w:rsidP="001268D9">
      <w:pPr>
        <w:ind w:left="708"/>
      </w:pPr>
      <w:r>
        <w:t>e. Der Ausschuss kann Unterarbeitsgruppen bilden, in denen auch Nichtmitglied</w:t>
      </w:r>
      <w:r w:rsidR="00361423">
        <w:t>er tätig sind. Die Unterarbeitsg</w:t>
      </w:r>
      <w:r>
        <w:t>ruppen können vom Ausschuss mit einfacher Mehrheit mit einem Budget zur Umsetzung ihres Arbeitsauftrages ausgestattet werden. In jeder ordentlichen Sitzung gibt jede Unterarbeitsgruppe einen Sachstands-Bericht ab.</w:t>
      </w:r>
    </w:p>
    <w:p w:rsidR="003965A3" w:rsidRPr="00195BC3" w:rsidRDefault="003965A3" w:rsidP="003965A3">
      <w:pPr>
        <w:ind w:firstLine="708"/>
        <w:rPr>
          <w:b/>
        </w:rPr>
      </w:pPr>
      <w:r w:rsidRPr="00195BC3">
        <w:rPr>
          <w:b/>
        </w:rPr>
        <w:t>5.2 Beschlussfassung</w:t>
      </w:r>
      <w:r w:rsidR="00DD446A" w:rsidRPr="00195BC3">
        <w:rPr>
          <w:b/>
        </w:rPr>
        <w:t xml:space="preserve"> zu Mittelvergaben</w:t>
      </w:r>
    </w:p>
    <w:p w:rsidR="001268D9" w:rsidRDefault="001268D9" w:rsidP="00EB6596">
      <w:pPr>
        <w:ind w:left="708"/>
      </w:pPr>
      <w:r>
        <w:t xml:space="preserve">a. </w:t>
      </w:r>
      <w:r w:rsidR="00EB6596" w:rsidRPr="001A5D02">
        <w:t xml:space="preserve">Der </w:t>
      </w:r>
      <w:r w:rsidR="00EB6596" w:rsidRPr="004F32C0">
        <w:rPr>
          <w:color w:val="000000" w:themeColor="text1"/>
        </w:rPr>
        <w:t>Ausschuss</w:t>
      </w:r>
      <w:r w:rsidR="00F51362" w:rsidRPr="004F32C0">
        <w:rPr>
          <w:color w:val="000000" w:themeColor="text1"/>
        </w:rPr>
        <w:t xml:space="preserve"> </w:t>
      </w:r>
      <w:r w:rsidR="004F32C0">
        <w:rPr>
          <w:color w:val="000000" w:themeColor="text1"/>
        </w:rPr>
        <w:t>ist</w:t>
      </w:r>
      <w:r w:rsidR="00EB6596" w:rsidRPr="004F32C0">
        <w:rPr>
          <w:color w:val="000000" w:themeColor="text1"/>
        </w:rPr>
        <w:t xml:space="preserve"> </w:t>
      </w:r>
      <w:r w:rsidR="00EB6596">
        <w:t>bzgl. der Vergabe von Mitteln</w:t>
      </w:r>
      <w:r w:rsidR="00EB6596" w:rsidRPr="001A5D02">
        <w:t xml:space="preserve"> beschlussfähig, wenn </w:t>
      </w:r>
      <w:r w:rsidR="00EB6596">
        <w:t>mindestens</w:t>
      </w:r>
      <w:r w:rsidR="00EB6596" w:rsidRPr="001A5D02">
        <w:t xml:space="preserve"> </w:t>
      </w:r>
      <w:r w:rsidR="00361423">
        <w:t>5 Mitglieder von verschiedenen Sitzen anwesend sind.</w:t>
      </w:r>
    </w:p>
    <w:p w:rsidR="00DD446A" w:rsidRPr="00FB6B4E" w:rsidRDefault="001268D9" w:rsidP="001268D9">
      <w:pPr>
        <w:ind w:left="708"/>
      </w:pPr>
      <w:r>
        <w:t xml:space="preserve">b. </w:t>
      </w:r>
      <w:r w:rsidR="00DD446A">
        <w:t>Beschlüsse</w:t>
      </w:r>
      <w:r w:rsidR="003C2252">
        <w:t xml:space="preserve"> zu Anträgen</w:t>
      </w:r>
      <w:r w:rsidR="00DD446A">
        <w:t xml:space="preserve"> in den Sitzungen werden mit einfacher Mehrheit</w:t>
      </w:r>
      <w:r w:rsidR="00E726CD">
        <w:t xml:space="preserve"> der </w:t>
      </w:r>
      <w:r w:rsidR="004F32C0" w:rsidRPr="004F32C0">
        <w:rPr>
          <w:color w:val="000000" w:themeColor="text1"/>
        </w:rPr>
        <w:t xml:space="preserve">teilnehmenden </w:t>
      </w:r>
      <w:proofErr w:type="spellStart"/>
      <w:r w:rsidR="004F32C0" w:rsidRPr="004F32C0">
        <w:rPr>
          <w:color w:val="000000" w:themeColor="text1"/>
        </w:rPr>
        <w:t>BgA</w:t>
      </w:r>
      <w:proofErr w:type="spellEnd"/>
      <w:r w:rsidR="004F32C0" w:rsidRPr="004F32C0">
        <w:rPr>
          <w:color w:val="000000" w:themeColor="text1"/>
        </w:rPr>
        <w:t xml:space="preserve"> Mitglieder</w:t>
      </w:r>
      <w:r w:rsidR="00DD446A" w:rsidRPr="004F32C0">
        <w:rPr>
          <w:color w:val="000000" w:themeColor="text1"/>
        </w:rPr>
        <w:t xml:space="preserve"> </w:t>
      </w:r>
      <w:r w:rsidR="00DD446A">
        <w:t>in offener Abstimmung gefasst.</w:t>
      </w:r>
      <w:r w:rsidR="00111786">
        <w:t xml:space="preserve"> </w:t>
      </w:r>
      <w:r w:rsidR="003C2252">
        <w:t>Anträge sind dabei immer positiv zu formulieren</w:t>
      </w:r>
      <w:r w:rsidR="003C2252" w:rsidRPr="00FB6B4E">
        <w:t xml:space="preserve">. </w:t>
      </w:r>
      <w:r w:rsidR="00111786" w:rsidRPr="00FB6B4E">
        <w:t>Ein Antrag gilt als angenommen, wenn er die einfache Mehrheit der stimmberechtigten Mitglieder erhält. Bei Stimmengleichheit</w:t>
      </w:r>
      <w:r w:rsidR="00165CD2" w:rsidRPr="00FB6B4E">
        <w:t xml:space="preserve"> gilt der Antrag als abgelehnt.</w:t>
      </w:r>
      <w:r w:rsidR="00111786" w:rsidRPr="00FB6B4E">
        <w:t xml:space="preserve">  Jeder Sitz hat </w:t>
      </w:r>
      <w:r w:rsidR="00361423" w:rsidRPr="00FB6B4E">
        <w:t xml:space="preserve">nur </w:t>
      </w:r>
      <w:r w:rsidR="00111786" w:rsidRPr="00FB6B4E">
        <w:t>eine Stimme, auch wenn er mehrfach besetzt ist.</w:t>
      </w:r>
    </w:p>
    <w:p w:rsidR="003F27C2" w:rsidRDefault="001268D9" w:rsidP="007250FB">
      <w:pPr>
        <w:ind w:left="708"/>
        <w:rPr>
          <w:color w:val="FF0000"/>
        </w:rPr>
      </w:pPr>
      <w:r>
        <w:lastRenderedPageBreak/>
        <w:t xml:space="preserve">c. </w:t>
      </w:r>
      <w:r w:rsidR="00DD446A">
        <w:t>In Ausnahmefällen kann eine Beschlussfassung</w:t>
      </w:r>
      <w:r w:rsidR="001A5D02">
        <w:t xml:space="preserve"> außerhalb von Sitzungsterminen durch ein</w:t>
      </w:r>
      <w:r w:rsidR="00DD446A">
        <w:t xml:space="preserve"> Umlauf- oder Onlineverfahren erfolgen (z.B. </w:t>
      </w:r>
      <w:proofErr w:type="spellStart"/>
      <w:r w:rsidR="00DD446A">
        <w:t>doodle</w:t>
      </w:r>
      <w:proofErr w:type="spellEnd"/>
      <w:r w:rsidR="00DD446A" w:rsidRPr="004F32C0">
        <w:rPr>
          <w:color w:val="000000" w:themeColor="text1"/>
        </w:rPr>
        <w:t xml:space="preserve">). </w:t>
      </w:r>
      <w:r w:rsidR="00FB6B4E" w:rsidRPr="004F32C0">
        <w:rPr>
          <w:color w:val="000000" w:themeColor="text1"/>
        </w:rPr>
        <w:t xml:space="preserve">Alle </w:t>
      </w:r>
      <w:proofErr w:type="spellStart"/>
      <w:r w:rsidR="00FB6B4E" w:rsidRPr="004F32C0">
        <w:rPr>
          <w:color w:val="000000" w:themeColor="text1"/>
        </w:rPr>
        <w:t>BgA</w:t>
      </w:r>
      <w:proofErr w:type="spellEnd"/>
      <w:r w:rsidR="00FB6B4E" w:rsidRPr="004F32C0">
        <w:rPr>
          <w:color w:val="000000" w:themeColor="text1"/>
        </w:rPr>
        <w:t>-Mitglieder werden am Umlaufbeschlussverfahren beteiligt.</w:t>
      </w:r>
      <w:r w:rsidR="00FB6B4E">
        <w:t xml:space="preserve"> </w:t>
      </w:r>
      <w:r w:rsidR="004F32C0">
        <w:t xml:space="preserve">Die </w:t>
      </w:r>
      <w:proofErr w:type="spellStart"/>
      <w:r w:rsidR="004F32C0">
        <w:t>BgA</w:t>
      </w:r>
      <w:proofErr w:type="spellEnd"/>
      <w:r w:rsidR="004F32C0">
        <w:t xml:space="preserve">-Mitglieder, die gemeinsam eine Stimme vertreten, können nur einstimmig Ihr Votum erklären. Es ist ein </w:t>
      </w:r>
      <w:proofErr w:type="spellStart"/>
      <w:r w:rsidR="004F32C0">
        <w:t>BgA</w:t>
      </w:r>
      <w:proofErr w:type="spellEnd"/>
      <w:r w:rsidR="004F32C0">
        <w:t>-Mitglied zu benennen, das dann an der Abstimmung mit dem verabredeten Votum an der Abstimmung teilnimmt.</w:t>
      </w:r>
    </w:p>
    <w:p w:rsidR="00250BB8" w:rsidRPr="004F32C0" w:rsidRDefault="00DD446A" w:rsidP="00250BB8">
      <w:pPr>
        <w:ind w:left="708"/>
        <w:rPr>
          <w:color w:val="000000" w:themeColor="text1"/>
        </w:rPr>
      </w:pPr>
      <w:r w:rsidRPr="004F32C0">
        <w:rPr>
          <w:color w:val="000000" w:themeColor="text1"/>
        </w:rPr>
        <w:t xml:space="preserve">Ein Beschluss </w:t>
      </w:r>
      <w:r w:rsidR="00250BB8" w:rsidRPr="004F32C0">
        <w:rPr>
          <w:color w:val="000000" w:themeColor="text1"/>
        </w:rPr>
        <w:t xml:space="preserve">im Umlaufverfahren </w:t>
      </w:r>
      <w:r w:rsidRPr="004F32C0">
        <w:rPr>
          <w:color w:val="000000" w:themeColor="text1"/>
        </w:rPr>
        <w:t xml:space="preserve">erfordert eine </w:t>
      </w:r>
      <w:r w:rsidR="004F32C0">
        <w:rPr>
          <w:color w:val="000000" w:themeColor="text1"/>
        </w:rPr>
        <w:t xml:space="preserve">einfache </w:t>
      </w:r>
      <w:r w:rsidRPr="004F32C0">
        <w:rPr>
          <w:color w:val="000000" w:themeColor="text1"/>
        </w:rPr>
        <w:t>Mehrheit</w:t>
      </w:r>
      <w:r w:rsidR="00F51362" w:rsidRPr="004F32C0">
        <w:rPr>
          <w:color w:val="000000" w:themeColor="text1"/>
        </w:rPr>
        <w:t xml:space="preserve"> </w:t>
      </w:r>
      <w:r w:rsidR="004F32C0">
        <w:rPr>
          <w:color w:val="000000" w:themeColor="text1"/>
        </w:rPr>
        <w:t>der abgegebenen Stimmen</w:t>
      </w:r>
      <w:r w:rsidRPr="004F32C0">
        <w:rPr>
          <w:color w:val="000000" w:themeColor="text1"/>
        </w:rPr>
        <w:t>, das Ergebnis wird spätestens in der nächstfolgenden Sitzung bekannt gemacht und zu Protokoll gegeben.</w:t>
      </w:r>
      <w:r w:rsidR="001A5D02" w:rsidRPr="004F32C0">
        <w:rPr>
          <w:color w:val="000000" w:themeColor="text1"/>
        </w:rPr>
        <w:t xml:space="preserve"> </w:t>
      </w:r>
    </w:p>
    <w:p w:rsidR="00DD446A" w:rsidRPr="00250BB8" w:rsidRDefault="001A5D02" w:rsidP="00250BB8">
      <w:pPr>
        <w:ind w:left="708"/>
        <w:rPr>
          <w:color w:val="FF0000"/>
        </w:rPr>
      </w:pPr>
      <w:r>
        <w:t xml:space="preserve">Die Abstimmung soll mindestens 72 Stunden online </w:t>
      </w:r>
      <w:r w:rsidR="004F32C0">
        <w:t xml:space="preserve">zur Abstimmung </w:t>
      </w:r>
      <w:r>
        <w:t>stehen. Wenn die absolute Mehrheit</w:t>
      </w:r>
      <w:r w:rsidR="00F51362">
        <w:t xml:space="preserve"> </w:t>
      </w:r>
      <w:r>
        <w:t xml:space="preserve">erreicht ist (im </w:t>
      </w:r>
      <w:proofErr w:type="spellStart"/>
      <w:r>
        <w:t>positiven</w:t>
      </w:r>
      <w:proofErr w:type="spellEnd"/>
      <w:r>
        <w:t xml:space="preserve"> wie im negativen Sinne), kann sie vorzeitig beendet werden.</w:t>
      </w:r>
    </w:p>
    <w:p w:rsidR="001268D9" w:rsidRDefault="001268D9" w:rsidP="001268D9">
      <w:pPr>
        <w:ind w:left="708"/>
      </w:pPr>
      <w:r>
        <w:t>d. Die Vergabe erfolgt entsprechend der Vergaberichtlinie zur Umsetzung der Partnerschaft für Demokratie Westhavelland &amp; Nauen und des Zuwendungsbescheides für das Kalenderjahr und seiner Anlagen. Die haushaltsrechtlichen Vergabebestimmungen der Stadt Rathenow als Zuwendungsempfänger sind zu beachten.</w:t>
      </w:r>
    </w:p>
    <w:p w:rsidR="002E0802" w:rsidRDefault="001268D9" w:rsidP="004F32C0">
      <w:pPr>
        <w:ind w:left="708"/>
      </w:pPr>
      <w:r>
        <w:t>e. Träger, die durch Personen im Begleitausschuss vertreten sind (hauptamtliche und ehrenamtliche) und zugleich als Antragsteller auftreten bzw. Personen, die Mitglied im Begleitausschuss und zugleich ehren- oder hauptamtlich in Organen des Antragstellers wirken, dürfen am betreffenden Tagesordnungspunkt nicht beschließend teilnehmen.</w:t>
      </w:r>
    </w:p>
    <w:p w:rsidR="00DD446A" w:rsidRPr="00195BC3" w:rsidRDefault="00F10D5C" w:rsidP="00195BC3">
      <w:pPr>
        <w:ind w:firstLine="708"/>
        <w:rPr>
          <w:b/>
        </w:rPr>
      </w:pPr>
      <w:r w:rsidRPr="00195BC3">
        <w:rPr>
          <w:b/>
        </w:rPr>
        <w:t>5.3 Protokoll</w:t>
      </w:r>
    </w:p>
    <w:p w:rsidR="00361423" w:rsidRDefault="00DD446A" w:rsidP="00DD446A">
      <w:r>
        <w:t xml:space="preserve">Zu allen Sitzungen des </w:t>
      </w:r>
      <w:proofErr w:type="spellStart"/>
      <w:r>
        <w:t>BgA</w:t>
      </w:r>
      <w:proofErr w:type="spellEnd"/>
      <w:r>
        <w:t xml:space="preserve"> wird ein Ergebnisprotokoll gefertigt. Zuständig ist die</w:t>
      </w:r>
      <w:r w:rsidR="00424523">
        <w:t xml:space="preserve"> Fach- und Koordinierungsstelle. Das Protokoll der vorherigen Sitzung wird spätestens mit der Einladung zur nächsten Sitzung an die Mitg</w:t>
      </w:r>
      <w:r w:rsidR="00EB6596">
        <w:t>lieder des Ausschusses versandt und in der folgenden Sitzung genehmigt.</w:t>
      </w:r>
    </w:p>
    <w:p w:rsidR="006650BB" w:rsidRPr="00195BC3" w:rsidRDefault="006650BB" w:rsidP="004F32C0">
      <w:pPr>
        <w:pStyle w:val="Listenabsatz"/>
        <w:numPr>
          <w:ilvl w:val="0"/>
          <w:numId w:val="1"/>
        </w:numPr>
        <w:rPr>
          <w:b/>
        </w:rPr>
      </w:pPr>
      <w:r w:rsidRPr="00195BC3">
        <w:rPr>
          <w:b/>
        </w:rPr>
        <w:t>Änderungen der Geschäftsordnung</w:t>
      </w:r>
    </w:p>
    <w:p w:rsidR="00EB6596" w:rsidRDefault="006650BB" w:rsidP="006650BB">
      <w:r>
        <w:t>Änderungen der Geschäftsordnung bedürfen der 2/3-Mehrheit aller stimmberechtigten Mitglieder des Ausschusses.</w:t>
      </w:r>
    </w:p>
    <w:p w:rsidR="00111786" w:rsidRPr="00195BC3" w:rsidRDefault="00111786" w:rsidP="00111786">
      <w:pPr>
        <w:pStyle w:val="Listenabsatz"/>
        <w:numPr>
          <w:ilvl w:val="0"/>
          <w:numId w:val="1"/>
        </w:numPr>
        <w:rPr>
          <w:b/>
        </w:rPr>
      </w:pPr>
      <w:r w:rsidRPr="00195BC3">
        <w:rPr>
          <w:b/>
        </w:rPr>
        <w:t>Inkrafttreten</w:t>
      </w:r>
    </w:p>
    <w:p w:rsidR="00DD446A" w:rsidRDefault="00111786" w:rsidP="00DD446A">
      <w:r>
        <w:t xml:space="preserve">Die Geschäftsordnung wurde am </w:t>
      </w:r>
      <w:r w:rsidR="004F32C0">
        <w:t xml:space="preserve">         </w:t>
      </w:r>
      <w:r>
        <w:t>durch den Begleitausschuss</w:t>
      </w:r>
      <w:r w:rsidR="006650BB">
        <w:t xml:space="preserve"> mit 2/3-Mehrheit</w:t>
      </w:r>
      <w:r>
        <w:t xml:space="preserve"> beschlossen und trat gleichzeitig in Kraft.</w:t>
      </w:r>
    </w:p>
    <w:sectPr w:rsidR="00DD446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BE" w:rsidRDefault="008B22BE" w:rsidP="00356FD8">
      <w:pPr>
        <w:spacing w:after="0" w:line="240" w:lineRule="auto"/>
      </w:pPr>
      <w:r>
        <w:separator/>
      </w:r>
    </w:p>
  </w:endnote>
  <w:endnote w:type="continuationSeparator" w:id="0">
    <w:p w:rsidR="008B22BE" w:rsidRDefault="008B22BE" w:rsidP="0035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BE" w:rsidRDefault="008B22BE" w:rsidP="00356FD8">
      <w:pPr>
        <w:spacing w:after="0" w:line="240" w:lineRule="auto"/>
      </w:pPr>
      <w:r>
        <w:separator/>
      </w:r>
    </w:p>
  </w:footnote>
  <w:footnote w:type="continuationSeparator" w:id="0">
    <w:p w:rsidR="008B22BE" w:rsidRDefault="008B22BE" w:rsidP="00356FD8">
      <w:pPr>
        <w:spacing w:after="0" w:line="240" w:lineRule="auto"/>
      </w:pPr>
      <w:r>
        <w:continuationSeparator/>
      </w:r>
    </w:p>
  </w:footnote>
  <w:footnote w:id="1">
    <w:p w:rsidR="00356FD8" w:rsidRDefault="00356FD8">
      <w:pPr>
        <w:pStyle w:val="Funotentext"/>
      </w:pPr>
      <w:r>
        <w:rPr>
          <w:rStyle w:val="Funotenzeichen"/>
        </w:rPr>
        <w:footnoteRef/>
      </w:r>
      <w:r>
        <w:t xml:space="preserve"> Die 7</w:t>
      </w:r>
      <w:r w:rsidR="00FA74D6">
        <w:t xml:space="preserve"> </w:t>
      </w:r>
      <w:r w:rsidR="00FA74D6" w:rsidRPr="00FA74D6">
        <w:rPr>
          <w:color w:val="FF0000"/>
        </w:rPr>
        <w:t>(6)</w:t>
      </w:r>
      <w:r w:rsidRPr="00FA74D6">
        <w:rPr>
          <w:color w:val="FF0000"/>
        </w:rPr>
        <w:t xml:space="preserve"> </w:t>
      </w:r>
      <w:r>
        <w:t xml:space="preserve">westlichen kommunalen Gebietskörperschaften sind die Ämter </w:t>
      </w:r>
      <w:proofErr w:type="spellStart"/>
      <w:r>
        <w:t>Friesack</w:t>
      </w:r>
      <w:proofErr w:type="spellEnd"/>
      <w:r>
        <w:t xml:space="preserve">, </w:t>
      </w:r>
      <w:r w:rsidRPr="00FA74D6">
        <w:rPr>
          <w:strike/>
          <w:color w:val="FF0000"/>
        </w:rPr>
        <w:t>Nennhausen</w:t>
      </w:r>
      <w:r>
        <w:t xml:space="preserve"> und </w:t>
      </w:r>
      <w:proofErr w:type="spellStart"/>
      <w:r>
        <w:t>Rhinow</w:t>
      </w:r>
      <w:proofErr w:type="spellEnd"/>
      <w:r>
        <w:t xml:space="preserve">, die Gemeinde </w:t>
      </w:r>
      <w:proofErr w:type="spellStart"/>
      <w:r>
        <w:t>Milower</w:t>
      </w:r>
      <w:proofErr w:type="spellEnd"/>
      <w:r>
        <w:t xml:space="preserve"> Land sowie die Städte Nauen, Premnitz und Rathenow. Die Federführung der verwaltungsseitigen Umsetzung der </w:t>
      </w:r>
      <w:proofErr w:type="spellStart"/>
      <w:r>
        <w:t>PfD</w:t>
      </w:r>
      <w:proofErr w:type="spellEnd"/>
      <w:r>
        <w:t xml:space="preserve"> W&amp;N hat die Stadtverwaltung der Kreisstadt Rathenow übernommen.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15C"/>
    <w:multiLevelType w:val="hybridMultilevel"/>
    <w:tmpl w:val="AF90D912"/>
    <w:lvl w:ilvl="0" w:tplc="1C066B9C">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4D3E05"/>
    <w:multiLevelType w:val="hybridMultilevel"/>
    <w:tmpl w:val="68BEB11E"/>
    <w:lvl w:ilvl="0" w:tplc="F7B8DF8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4C162838"/>
    <w:multiLevelType w:val="hybridMultilevel"/>
    <w:tmpl w:val="236438A6"/>
    <w:lvl w:ilvl="0" w:tplc="361A086A">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360128"/>
    <w:multiLevelType w:val="hybridMultilevel"/>
    <w:tmpl w:val="83B8C1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2D6B8B"/>
    <w:multiLevelType w:val="hybridMultilevel"/>
    <w:tmpl w:val="25162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9F69B9"/>
    <w:multiLevelType w:val="hybridMultilevel"/>
    <w:tmpl w:val="C31C9E6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F4"/>
    <w:rsid w:val="00020030"/>
    <w:rsid w:val="00043CDF"/>
    <w:rsid w:val="00061310"/>
    <w:rsid w:val="000A22D5"/>
    <w:rsid w:val="000C75A4"/>
    <w:rsid w:val="000D50CE"/>
    <w:rsid w:val="00111786"/>
    <w:rsid w:val="001268D9"/>
    <w:rsid w:val="0015105E"/>
    <w:rsid w:val="00165CD2"/>
    <w:rsid w:val="00195BC3"/>
    <w:rsid w:val="001A5D02"/>
    <w:rsid w:val="001C6699"/>
    <w:rsid w:val="00202D6D"/>
    <w:rsid w:val="0024116E"/>
    <w:rsid w:val="00250BB8"/>
    <w:rsid w:val="002E0802"/>
    <w:rsid w:val="0035076A"/>
    <w:rsid w:val="00356FD8"/>
    <w:rsid w:val="00361423"/>
    <w:rsid w:val="0039396C"/>
    <w:rsid w:val="003965A3"/>
    <w:rsid w:val="003C2252"/>
    <w:rsid w:val="003F27C2"/>
    <w:rsid w:val="00424523"/>
    <w:rsid w:val="00472252"/>
    <w:rsid w:val="004F32C0"/>
    <w:rsid w:val="004F4D56"/>
    <w:rsid w:val="00566349"/>
    <w:rsid w:val="005956D0"/>
    <w:rsid w:val="005C46BF"/>
    <w:rsid w:val="005D6500"/>
    <w:rsid w:val="0060421B"/>
    <w:rsid w:val="00623273"/>
    <w:rsid w:val="00663727"/>
    <w:rsid w:val="006650BB"/>
    <w:rsid w:val="0068559C"/>
    <w:rsid w:val="006B0E29"/>
    <w:rsid w:val="006E269D"/>
    <w:rsid w:val="0070247A"/>
    <w:rsid w:val="00702BC3"/>
    <w:rsid w:val="007250FB"/>
    <w:rsid w:val="007907B0"/>
    <w:rsid w:val="00842C48"/>
    <w:rsid w:val="008A0679"/>
    <w:rsid w:val="008A341A"/>
    <w:rsid w:val="008B22BE"/>
    <w:rsid w:val="008F3CF4"/>
    <w:rsid w:val="00983F9C"/>
    <w:rsid w:val="009C6D39"/>
    <w:rsid w:val="00BB15E5"/>
    <w:rsid w:val="00C00607"/>
    <w:rsid w:val="00D0334C"/>
    <w:rsid w:val="00D04433"/>
    <w:rsid w:val="00D871F7"/>
    <w:rsid w:val="00D93A88"/>
    <w:rsid w:val="00DA79C6"/>
    <w:rsid w:val="00DD446A"/>
    <w:rsid w:val="00E11DF7"/>
    <w:rsid w:val="00E11F47"/>
    <w:rsid w:val="00E508E8"/>
    <w:rsid w:val="00E726CD"/>
    <w:rsid w:val="00EB6596"/>
    <w:rsid w:val="00F10AE8"/>
    <w:rsid w:val="00F10D5C"/>
    <w:rsid w:val="00F51362"/>
    <w:rsid w:val="00FA74D6"/>
    <w:rsid w:val="00FB6B4E"/>
    <w:rsid w:val="00FD1B84"/>
    <w:rsid w:val="00FE0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A22C"/>
  <w15:docId w15:val="{8E600326-E882-407E-88F6-82E6F232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3CF4"/>
    <w:pPr>
      <w:ind w:left="720"/>
      <w:contextualSpacing/>
    </w:pPr>
  </w:style>
  <w:style w:type="paragraph" w:styleId="Funotentext">
    <w:name w:val="footnote text"/>
    <w:basedOn w:val="Standard"/>
    <w:link w:val="FunotentextZchn"/>
    <w:uiPriority w:val="99"/>
    <w:semiHidden/>
    <w:unhideWhenUsed/>
    <w:rsid w:val="00356FD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56FD8"/>
    <w:rPr>
      <w:sz w:val="20"/>
      <w:szCs w:val="20"/>
    </w:rPr>
  </w:style>
  <w:style w:type="character" w:styleId="Funotenzeichen">
    <w:name w:val="footnote reference"/>
    <w:basedOn w:val="Absatz-Standardschriftart"/>
    <w:uiPriority w:val="99"/>
    <w:semiHidden/>
    <w:unhideWhenUsed/>
    <w:rsid w:val="00356FD8"/>
    <w:rPr>
      <w:vertAlign w:val="superscript"/>
    </w:rPr>
  </w:style>
  <w:style w:type="character" w:styleId="Hyperlink">
    <w:name w:val="Hyperlink"/>
    <w:basedOn w:val="Absatz-Standardschriftart"/>
    <w:uiPriority w:val="99"/>
    <w:unhideWhenUsed/>
    <w:rsid w:val="00702BC3"/>
    <w:rPr>
      <w:color w:val="0000FF" w:themeColor="hyperlink"/>
      <w:u w:val="single"/>
    </w:rPr>
  </w:style>
  <w:style w:type="table" w:styleId="Tabellenraster">
    <w:name w:val="Table Grid"/>
    <w:basedOn w:val="NormaleTabelle"/>
    <w:uiPriority w:val="59"/>
    <w:rsid w:val="001A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02D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2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4114">
      <w:bodyDiv w:val="1"/>
      <w:marLeft w:val="0"/>
      <w:marRight w:val="0"/>
      <w:marTop w:val="0"/>
      <w:marBottom w:val="0"/>
      <w:divBdr>
        <w:top w:val="none" w:sz="0" w:space="0" w:color="auto"/>
        <w:left w:val="none" w:sz="0" w:space="0" w:color="auto"/>
        <w:bottom w:val="none" w:sz="0" w:space="0" w:color="auto"/>
        <w:right w:val="none" w:sz="0" w:space="0" w:color="auto"/>
      </w:divBdr>
      <w:divsChild>
        <w:div w:id="521356114">
          <w:marLeft w:val="0"/>
          <w:marRight w:val="0"/>
          <w:marTop w:val="0"/>
          <w:marBottom w:val="0"/>
          <w:divBdr>
            <w:top w:val="none" w:sz="0" w:space="0" w:color="auto"/>
            <w:left w:val="none" w:sz="0" w:space="0" w:color="auto"/>
            <w:bottom w:val="none" w:sz="0" w:space="0" w:color="auto"/>
            <w:right w:val="none" w:sz="0" w:space="0" w:color="auto"/>
          </w:divBdr>
        </w:div>
        <w:div w:id="948508669">
          <w:marLeft w:val="0"/>
          <w:marRight w:val="0"/>
          <w:marTop w:val="0"/>
          <w:marBottom w:val="0"/>
          <w:divBdr>
            <w:top w:val="none" w:sz="0" w:space="0" w:color="auto"/>
            <w:left w:val="none" w:sz="0" w:space="0" w:color="auto"/>
            <w:bottom w:val="none" w:sz="0" w:space="0" w:color="auto"/>
            <w:right w:val="none" w:sz="0" w:space="0" w:color="auto"/>
          </w:divBdr>
        </w:div>
        <w:div w:id="136382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86F6-47D3-4183-8C26-6B04A5EB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1169</Words>
  <Characters>7371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Externe Koordinierun</dc:creator>
  <cp:lastModifiedBy>Windows User</cp:lastModifiedBy>
  <cp:revision>4</cp:revision>
  <cp:lastPrinted>2019-01-21T12:01:00Z</cp:lastPrinted>
  <dcterms:created xsi:type="dcterms:W3CDTF">2020-09-17T11:36:00Z</dcterms:created>
  <dcterms:modified xsi:type="dcterms:W3CDTF">2020-11-11T08:14:00Z</dcterms:modified>
</cp:coreProperties>
</file>